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B2" w:rsidRPr="00CA3FDD" w:rsidRDefault="00B64AB2" w:rsidP="00CA3FDD">
      <w:pPr>
        <w:jc w:val="center"/>
        <w:rPr>
          <w:rFonts w:ascii="Arial" w:hAnsi="Arial" w:cs="Arial"/>
          <w:b/>
          <w:sz w:val="24"/>
          <w:szCs w:val="24"/>
        </w:rPr>
      </w:pPr>
      <w:r w:rsidRPr="00CA3FDD">
        <w:rPr>
          <w:rFonts w:ascii="Arial" w:hAnsi="Arial" w:cs="Arial"/>
          <w:b/>
          <w:sz w:val="24"/>
          <w:szCs w:val="24"/>
        </w:rPr>
        <w:t xml:space="preserve">CONVENIO </w:t>
      </w:r>
      <w:r w:rsidR="00CA3FDD">
        <w:rPr>
          <w:rFonts w:ascii="Arial" w:hAnsi="Arial" w:cs="Arial"/>
          <w:b/>
          <w:sz w:val="24"/>
          <w:szCs w:val="24"/>
        </w:rPr>
        <w:t xml:space="preserve">COLECTIVO ESTATAL DE </w:t>
      </w:r>
      <w:r w:rsidRPr="00CA3FDD">
        <w:rPr>
          <w:rFonts w:ascii="Arial" w:hAnsi="Arial" w:cs="Arial"/>
          <w:b/>
          <w:sz w:val="24"/>
          <w:szCs w:val="24"/>
        </w:rPr>
        <w:t>ESTACIONES DE SERVICIO 2016-2018</w:t>
      </w: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El BOE de 19 de octubre de 2017 ha hecho público el nuevo Convenio Colectivo Estatal de Estaciones de Servicio, que tendrá una vigencia temporal desde el 1 de enero de 2016 hasta el 31 de diciembre de 2018. </w:t>
      </w: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Las principales novedades que se han </w:t>
      </w:r>
      <w:r w:rsidR="00CA3FDD" w:rsidRPr="00CA3FDD">
        <w:rPr>
          <w:rFonts w:ascii="Arial" w:hAnsi="Arial" w:cs="Arial"/>
          <w:sz w:val="24"/>
          <w:szCs w:val="24"/>
        </w:rPr>
        <w:t>introducido</w:t>
      </w:r>
      <w:r w:rsidRPr="00CA3FDD">
        <w:rPr>
          <w:rFonts w:ascii="Arial" w:hAnsi="Arial" w:cs="Arial"/>
          <w:sz w:val="24"/>
          <w:szCs w:val="24"/>
        </w:rPr>
        <w:t xml:space="preserve"> respecto al texto anterior, son las siguientes:</w:t>
      </w: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</w:p>
    <w:p w:rsidR="00B64AB2" w:rsidRPr="00CA3FDD" w:rsidRDefault="00B64AB2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Traslados.</w:t>
      </w: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El nuevo artículo 19 sustituye el </w:t>
      </w:r>
      <w:r w:rsidR="00CA3FDD" w:rsidRPr="00CA3FDD">
        <w:rPr>
          <w:rFonts w:ascii="Arial" w:hAnsi="Arial" w:cs="Arial"/>
          <w:sz w:val="24"/>
          <w:szCs w:val="24"/>
        </w:rPr>
        <w:t>límite</w:t>
      </w:r>
      <w:r w:rsidRPr="00CA3FDD">
        <w:rPr>
          <w:rFonts w:ascii="Arial" w:hAnsi="Arial" w:cs="Arial"/>
          <w:sz w:val="24"/>
          <w:szCs w:val="24"/>
        </w:rPr>
        <w:t xml:space="preserve"> para los desplazamientos temporales de los trabajadores de una vez al año a una vez cada doce meses, estableciendo además un límite temporal al desplazamiento, </w:t>
      </w:r>
      <w:r w:rsidR="00241E0C">
        <w:rPr>
          <w:rFonts w:ascii="Arial" w:hAnsi="Arial" w:cs="Arial"/>
          <w:sz w:val="24"/>
          <w:szCs w:val="24"/>
        </w:rPr>
        <w:t>que</w:t>
      </w:r>
      <w:r w:rsidRPr="00CA3FDD">
        <w:rPr>
          <w:rFonts w:ascii="Arial" w:hAnsi="Arial" w:cs="Arial"/>
          <w:sz w:val="24"/>
          <w:szCs w:val="24"/>
        </w:rPr>
        <w:t xml:space="preserve"> no podrá durar más de 365 días, no pudiendo realizarse un nuevo </w:t>
      </w:r>
      <w:r w:rsidR="00CA3FDD" w:rsidRPr="00CA3FDD">
        <w:rPr>
          <w:rFonts w:ascii="Arial" w:hAnsi="Arial" w:cs="Arial"/>
          <w:sz w:val="24"/>
          <w:szCs w:val="24"/>
        </w:rPr>
        <w:t>desplazamiento</w:t>
      </w:r>
      <w:r w:rsidRPr="00CA3FDD">
        <w:rPr>
          <w:rFonts w:ascii="Arial" w:hAnsi="Arial" w:cs="Arial"/>
          <w:sz w:val="24"/>
          <w:szCs w:val="24"/>
        </w:rPr>
        <w:t xml:space="preserve"> hasta que no hayan transcurrido 365 días desde la finalización del último </w:t>
      </w:r>
      <w:r w:rsidR="00CA3FDD" w:rsidRPr="00CA3FDD">
        <w:rPr>
          <w:rFonts w:ascii="Arial" w:hAnsi="Arial" w:cs="Arial"/>
          <w:sz w:val="24"/>
          <w:szCs w:val="24"/>
        </w:rPr>
        <w:t>desplazamiento</w:t>
      </w:r>
      <w:r w:rsidRPr="00CA3FDD">
        <w:rPr>
          <w:rFonts w:ascii="Arial" w:hAnsi="Arial" w:cs="Arial"/>
          <w:sz w:val="24"/>
          <w:szCs w:val="24"/>
        </w:rPr>
        <w:t xml:space="preserve"> temporal.</w:t>
      </w: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Se establece</w:t>
      </w:r>
      <w:r w:rsidR="00241E0C">
        <w:rPr>
          <w:rFonts w:ascii="Arial" w:hAnsi="Arial" w:cs="Arial"/>
          <w:sz w:val="24"/>
          <w:szCs w:val="24"/>
        </w:rPr>
        <w:t>n</w:t>
      </w:r>
      <w:r w:rsidRPr="00CA3FDD">
        <w:rPr>
          <w:rFonts w:ascii="Arial" w:hAnsi="Arial" w:cs="Arial"/>
          <w:sz w:val="24"/>
          <w:szCs w:val="24"/>
        </w:rPr>
        <w:t xml:space="preserve"> una serie de criterios que deberán tenerse en cuenta a la hora de </w:t>
      </w:r>
      <w:r w:rsidR="00CA3FDD" w:rsidRPr="00CA3FDD">
        <w:rPr>
          <w:rFonts w:ascii="Arial" w:hAnsi="Arial" w:cs="Arial"/>
          <w:sz w:val="24"/>
          <w:szCs w:val="24"/>
        </w:rPr>
        <w:t>designar</w:t>
      </w:r>
      <w:r w:rsidRPr="00CA3FDD">
        <w:rPr>
          <w:rFonts w:ascii="Arial" w:hAnsi="Arial" w:cs="Arial"/>
          <w:sz w:val="24"/>
          <w:szCs w:val="24"/>
        </w:rPr>
        <w:t xml:space="preserve"> a la persona que ha de ser desplazada tanto de manera temporal como definitiva:</w:t>
      </w:r>
    </w:p>
    <w:p w:rsidR="00B64AB2" w:rsidRPr="00CA3FDD" w:rsidRDefault="00B64AB2" w:rsidP="00CA3FDD">
      <w:pPr>
        <w:pStyle w:val="Prrafodelista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 Voluntariedad</w:t>
      </w:r>
    </w:p>
    <w:p w:rsidR="00B64AB2" w:rsidRPr="00CA3FDD" w:rsidRDefault="00B64AB2" w:rsidP="00CA3FDD">
      <w:pPr>
        <w:pStyle w:val="Prrafodelista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 mayor cercanía desde el domicilio del trabajador al centro de trabajo.</w:t>
      </w:r>
    </w:p>
    <w:p w:rsidR="00B64AB2" w:rsidRPr="00CA3FDD" w:rsidRDefault="00B64AB2" w:rsidP="00CA3FDD">
      <w:pPr>
        <w:pStyle w:val="Prrafodelista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menor antigüedad en el centro.</w:t>
      </w:r>
    </w:p>
    <w:p w:rsidR="00B64AB2" w:rsidRPr="00CA3FDD" w:rsidRDefault="00B64AB2" w:rsidP="00CA3FDD">
      <w:pPr>
        <w:pStyle w:val="Prrafodelista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Menor antigüedad en la empresa.</w:t>
      </w:r>
    </w:p>
    <w:p w:rsidR="00B64AB2" w:rsidRPr="00CA3FDD" w:rsidRDefault="000D4BB4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Se prevé la rotación entre los diferentes trabajadores del centro, en caso de la necesidad de sucesivos desplazamientos, siempre que sea posible.</w:t>
      </w:r>
    </w:p>
    <w:p w:rsidR="000D4BB4" w:rsidRDefault="000D4BB4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Se aumenta la cantidad por kilómetro (0.16 euros/kilómetro)  y por dieta (30 euros).</w:t>
      </w:r>
    </w:p>
    <w:p w:rsidR="00241E0C" w:rsidRPr="00CA3FDD" w:rsidRDefault="00241E0C" w:rsidP="00CA3FD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7CC7" w:rsidRPr="00CA3FDD" w:rsidRDefault="003D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Vacaciones.</w:t>
      </w:r>
    </w:p>
    <w:p w:rsidR="003D7CC7" w:rsidRPr="00CA3FDD" w:rsidRDefault="003D7CC7" w:rsidP="0047622B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Se establece</w:t>
      </w:r>
      <w:r w:rsidR="00CA3FDD" w:rsidRPr="00CA3FDD">
        <w:rPr>
          <w:rFonts w:ascii="Arial" w:hAnsi="Arial" w:cs="Arial"/>
          <w:sz w:val="24"/>
          <w:szCs w:val="24"/>
        </w:rPr>
        <w:t xml:space="preserve"> expresamente</w:t>
      </w:r>
      <w:r w:rsidR="00CA3FDD">
        <w:rPr>
          <w:rFonts w:ascii="Arial" w:hAnsi="Arial" w:cs="Arial"/>
          <w:sz w:val="24"/>
          <w:szCs w:val="24"/>
        </w:rPr>
        <w:t xml:space="preserve"> en el art. 23</w:t>
      </w:r>
      <w:r w:rsidR="00CA3FDD" w:rsidRPr="00CA3FDD">
        <w:rPr>
          <w:rFonts w:ascii="Arial" w:hAnsi="Arial" w:cs="Arial"/>
          <w:sz w:val="24"/>
          <w:szCs w:val="24"/>
        </w:rPr>
        <w:t xml:space="preserve"> que se tendrá en </w:t>
      </w:r>
      <w:r w:rsidRPr="00CA3FDD">
        <w:rPr>
          <w:rFonts w:ascii="Arial" w:hAnsi="Arial" w:cs="Arial"/>
          <w:sz w:val="24"/>
          <w:szCs w:val="24"/>
        </w:rPr>
        <w:t xml:space="preserve"> </w:t>
      </w:r>
      <w:r w:rsidR="00CA3FDD" w:rsidRPr="00CA3FDD">
        <w:rPr>
          <w:rFonts w:ascii="Arial" w:hAnsi="Arial" w:cs="Arial"/>
          <w:sz w:val="24"/>
          <w:szCs w:val="24"/>
        </w:rPr>
        <w:t>cuenta</w:t>
      </w:r>
      <w:r w:rsidRPr="00CA3FDD">
        <w:rPr>
          <w:rFonts w:ascii="Arial" w:hAnsi="Arial" w:cs="Arial"/>
          <w:sz w:val="24"/>
          <w:szCs w:val="24"/>
        </w:rPr>
        <w:t xml:space="preserve"> la legislación </w:t>
      </w:r>
      <w:r w:rsidR="00CA3FDD" w:rsidRPr="00CA3FDD">
        <w:rPr>
          <w:rFonts w:ascii="Arial" w:hAnsi="Arial" w:cs="Arial"/>
          <w:sz w:val="24"/>
          <w:szCs w:val="24"/>
        </w:rPr>
        <w:t>española</w:t>
      </w:r>
      <w:r w:rsidRPr="00CA3FDD">
        <w:rPr>
          <w:rFonts w:ascii="Arial" w:hAnsi="Arial" w:cs="Arial"/>
          <w:sz w:val="24"/>
          <w:szCs w:val="24"/>
        </w:rPr>
        <w:t xml:space="preserve"> y europea así como la jurisprudencia del TS y del TJYE en materia de disfrute de vacaciones e incapacidad temporal, así como en materia de retribución salarial en vacaciones.</w:t>
      </w:r>
    </w:p>
    <w:p w:rsidR="003D7CC7" w:rsidRPr="00CA3FDD" w:rsidRDefault="003D7CC7" w:rsidP="00CA3FDD">
      <w:pPr>
        <w:jc w:val="both"/>
        <w:rPr>
          <w:rFonts w:ascii="Arial" w:hAnsi="Arial" w:cs="Arial"/>
          <w:sz w:val="24"/>
          <w:szCs w:val="24"/>
        </w:rPr>
      </w:pPr>
    </w:p>
    <w:p w:rsidR="003D7CC7" w:rsidRPr="00CA3FDD" w:rsidRDefault="003D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Reducción de jornada por motivos familiares.</w:t>
      </w:r>
    </w:p>
    <w:p w:rsidR="003D7CC7" w:rsidRPr="00CA3FDD" w:rsidRDefault="003D7CC7" w:rsidP="0047622B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Se suprime completamente la regulac</w:t>
      </w:r>
      <w:r w:rsidR="0047622B">
        <w:rPr>
          <w:rFonts w:ascii="Arial" w:hAnsi="Arial" w:cs="Arial"/>
          <w:sz w:val="24"/>
          <w:szCs w:val="24"/>
        </w:rPr>
        <w:t>ión contenida en el artículo 25</w:t>
      </w:r>
      <w:r w:rsidRPr="00CA3FDD">
        <w:rPr>
          <w:rFonts w:ascii="Arial" w:hAnsi="Arial" w:cs="Arial"/>
          <w:sz w:val="24"/>
          <w:szCs w:val="24"/>
        </w:rPr>
        <w:t>, que ahora se remite a lo previsto por la normativa vigente.</w:t>
      </w:r>
    </w:p>
    <w:p w:rsidR="003D7CC7" w:rsidRPr="00CA3FDD" w:rsidRDefault="003D7CC7" w:rsidP="00CA3FD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D7CC7" w:rsidRPr="00CA3FDD" w:rsidRDefault="003D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 xml:space="preserve">Horas </w:t>
      </w:r>
      <w:r w:rsidR="00CA3FDD" w:rsidRPr="00CA3FDD">
        <w:rPr>
          <w:rFonts w:ascii="Arial" w:hAnsi="Arial" w:cs="Arial"/>
          <w:sz w:val="24"/>
          <w:szCs w:val="24"/>
          <w:u w:val="single"/>
        </w:rPr>
        <w:t>extraordinarias</w:t>
      </w:r>
      <w:r w:rsidRPr="00CA3FDD">
        <w:rPr>
          <w:rFonts w:ascii="Arial" w:hAnsi="Arial" w:cs="Arial"/>
          <w:sz w:val="24"/>
          <w:szCs w:val="24"/>
          <w:u w:val="single"/>
        </w:rPr>
        <w:t>.</w:t>
      </w:r>
    </w:p>
    <w:p w:rsidR="00241E0C" w:rsidRDefault="003D7CC7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El artículo 29 establece la fórmula para el cálculo de cantidad correspondiente a las horas </w:t>
      </w:r>
      <w:r w:rsidR="00CA3FDD" w:rsidRPr="00CA3FDD">
        <w:rPr>
          <w:rFonts w:ascii="Arial" w:hAnsi="Arial" w:cs="Arial"/>
          <w:sz w:val="24"/>
          <w:szCs w:val="24"/>
        </w:rPr>
        <w:t>extraordinarias</w:t>
      </w:r>
      <w:r w:rsidR="00241E0C">
        <w:rPr>
          <w:rFonts w:ascii="Arial" w:hAnsi="Arial" w:cs="Arial"/>
          <w:sz w:val="24"/>
          <w:szCs w:val="24"/>
        </w:rPr>
        <w:t>:</w:t>
      </w:r>
    </w:p>
    <w:p w:rsidR="00241E0C" w:rsidRDefault="00241E0C" w:rsidP="00241E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196850</wp:posOffset>
                </wp:positionV>
                <wp:extent cx="29718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F68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5.5pt" to="328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(Salario base + antigüedad) x 15 pagas</w:t>
      </w:r>
    </w:p>
    <w:p w:rsidR="00241E0C" w:rsidRDefault="00241E0C" w:rsidP="00241E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1760</w:t>
      </w:r>
    </w:p>
    <w:p w:rsidR="00CA3FDD" w:rsidRPr="00CA3FDD" w:rsidRDefault="00CA3FDD" w:rsidP="00CA3FDD">
      <w:pPr>
        <w:jc w:val="both"/>
        <w:rPr>
          <w:rFonts w:ascii="Arial" w:hAnsi="Arial" w:cs="Arial"/>
          <w:sz w:val="24"/>
          <w:szCs w:val="24"/>
        </w:rPr>
      </w:pPr>
    </w:p>
    <w:p w:rsidR="003D7CC7" w:rsidRPr="00CA3FDD" w:rsidRDefault="003D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Salario base.</w:t>
      </w:r>
    </w:p>
    <w:p w:rsidR="003D7CC7" w:rsidRPr="00CA3FDD" w:rsidRDefault="003D7CC7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El artículo 32 actualiza el salario para cada uno de los grupos.</w:t>
      </w:r>
    </w:p>
    <w:p w:rsidR="003D7CC7" w:rsidRPr="00CA3FDD" w:rsidRDefault="003D7CC7" w:rsidP="00CA3FDD">
      <w:pPr>
        <w:jc w:val="both"/>
        <w:rPr>
          <w:rFonts w:ascii="Arial" w:hAnsi="Arial" w:cs="Arial"/>
          <w:sz w:val="24"/>
          <w:szCs w:val="24"/>
        </w:rPr>
      </w:pPr>
    </w:p>
    <w:p w:rsidR="003D7CC7" w:rsidRPr="00CA3FDD" w:rsidRDefault="003D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Complemento de trabajo nocturno.</w:t>
      </w:r>
    </w:p>
    <w:p w:rsidR="003D7CC7" w:rsidRPr="00CA3FDD" w:rsidRDefault="00767CC7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El art. 34 </w:t>
      </w:r>
      <w:r w:rsidR="003D7CC7" w:rsidRPr="00CA3FDD">
        <w:rPr>
          <w:rFonts w:ascii="Arial" w:hAnsi="Arial" w:cs="Arial"/>
          <w:sz w:val="24"/>
          <w:szCs w:val="24"/>
        </w:rPr>
        <w:t xml:space="preserve">contempla que las horas que se realicen desde las 22.00 horas en adelante tendrán la </w:t>
      </w:r>
      <w:r w:rsidR="00CA3FDD" w:rsidRPr="00CA3FDD">
        <w:rPr>
          <w:rFonts w:ascii="Arial" w:hAnsi="Arial" w:cs="Arial"/>
          <w:sz w:val="24"/>
          <w:szCs w:val="24"/>
        </w:rPr>
        <w:t>consideración</w:t>
      </w:r>
      <w:r w:rsidR="003D7CC7" w:rsidRPr="00CA3FDD">
        <w:rPr>
          <w:rFonts w:ascii="Arial" w:hAnsi="Arial" w:cs="Arial"/>
          <w:sz w:val="24"/>
          <w:szCs w:val="24"/>
        </w:rPr>
        <w:t xml:space="preserve"> de horas nocturnas a efecto del abono de dicho plus. Con la excepción del turno realizado de 7 a 23 horas que no se consideran </w:t>
      </w:r>
      <w:r w:rsidR="00CA3FDD" w:rsidRPr="00CA3FDD">
        <w:rPr>
          <w:rFonts w:ascii="Arial" w:hAnsi="Arial" w:cs="Arial"/>
          <w:sz w:val="24"/>
          <w:szCs w:val="24"/>
        </w:rPr>
        <w:t>horas</w:t>
      </w:r>
      <w:r w:rsidR="003D7CC7" w:rsidRPr="00CA3FDD">
        <w:rPr>
          <w:rFonts w:ascii="Arial" w:hAnsi="Arial" w:cs="Arial"/>
          <w:sz w:val="24"/>
          <w:szCs w:val="24"/>
        </w:rPr>
        <w:t xml:space="preserve"> nocturnas la de 22 a 23.</w:t>
      </w:r>
    </w:p>
    <w:p w:rsidR="003D7CC7" w:rsidRPr="00CA3FDD" w:rsidRDefault="003D7CC7" w:rsidP="00CA3FDD">
      <w:pPr>
        <w:jc w:val="both"/>
        <w:rPr>
          <w:rFonts w:ascii="Arial" w:hAnsi="Arial" w:cs="Arial"/>
          <w:sz w:val="24"/>
          <w:szCs w:val="24"/>
        </w:rPr>
      </w:pPr>
    </w:p>
    <w:p w:rsidR="003D7CC7" w:rsidRPr="00CA3FDD" w:rsidRDefault="0076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Pluses.</w:t>
      </w:r>
    </w:p>
    <w:p w:rsidR="00767CC7" w:rsidRPr="00CA3FDD" w:rsidRDefault="00767CC7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El Convenio actualiza las cuantías del plus festivo (art. 35)</w:t>
      </w:r>
      <w:r w:rsidR="00241E0C">
        <w:rPr>
          <w:rFonts w:ascii="Arial" w:hAnsi="Arial" w:cs="Arial"/>
          <w:sz w:val="24"/>
          <w:szCs w:val="24"/>
        </w:rPr>
        <w:t xml:space="preserve">, que se remunerará  </w:t>
      </w:r>
      <w:r w:rsidR="005544DC">
        <w:rPr>
          <w:rFonts w:ascii="Arial" w:hAnsi="Arial" w:cs="Arial"/>
          <w:sz w:val="24"/>
          <w:szCs w:val="24"/>
        </w:rPr>
        <w:t xml:space="preserve">con un complemento de 31.5 euros por jornada trabajada, </w:t>
      </w:r>
      <w:r w:rsidRPr="00CA3FDD">
        <w:rPr>
          <w:rFonts w:ascii="Arial" w:hAnsi="Arial" w:cs="Arial"/>
          <w:sz w:val="24"/>
          <w:szCs w:val="24"/>
        </w:rPr>
        <w:t xml:space="preserve"> y </w:t>
      </w:r>
      <w:r w:rsidR="00241E0C">
        <w:rPr>
          <w:rFonts w:ascii="Arial" w:hAnsi="Arial" w:cs="Arial"/>
          <w:sz w:val="24"/>
          <w:szCs w:val="24"/>
        </w:rPr>
        <w:t>del plus de distancia (art. 36), que queda establecido en 0.10 euros por kilómetro.</w:t>
      </w:r>
    </w:p>
    <w:p w:rsidR="00767CC7" w:rsidRPr="00CA3FDD" w:rsidRDefault="00767CC7" w:rsidP="00CA3FDD">
      <w:pPr>
        <w:jc w:val="both"/>
        <w:rPr>
          <w:rFonts w:ascii="Arial" w:hAnsi="Arial" w:cs="Arial"/>
          <w:sz w:val="24"/>
          <w:szCs w:val="24"/>
        </w:rPr>
      </w:pPr>
    </w:p>
    <w:p w:rsidR="00767CC7" w:rsidRPr="00CA3FDD" w:rsidRDefault="0076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Incrementos y revisiones salariales.</w:t>
      </w:r>
    </w:p>
    <w:p w:rsidR="00767CC7" w:rsidRPr="00CA3FDD" w:rsidRDefault="00CA3FDD" w:rsidP="00CA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art. 40:</w:t>
      </w:r>
    </w:p>
    <w:p w:rsidR="00B64AB2" w:rsidRPr="00CA3FDD" w:rsidRDefault="00B64AB2" w:rsidP="00CA3FDD">
      <w:pPr>
        <w:pStyle w:val="Prrafodelista"/>
        <w:numPr>
          <w:ilvl w:val="0"/>
          <w:numId w:val="2"/>
        </w:numPr>
        <w:ind w:left="0" w:firstLine="66"/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Para 2016, pago de atrasos de un 1,6% con efectos de 1 de octubre, noviembre y diciembre de 2016 sobre las tablas salariales del convenio 2015.</w:t>
      </w:r>
    </w:p>
    <w:p w:rsidR="00B64AB2" w:rsidRPr="00CA3FDD" w:rsidRDefault="00B64AB2" w:rsidP="00CA3FDD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Subida salarial del 1,6 % para el 2017 sobre las tablas salariales de 2015. </w:t>
      </w:r>
      <w:r w:rsidR="00DB2C46">
        <w:rPr>
          <w:rFonts w:ascii="Arial" w:hAnsi="Arial" w:cs="Arial"/>
          <w:sz w:val="24"/>
          <w:szCs w:val="24"/>
        </w:rPr>
        <w:t>– I</w:t>
      </w:r>
      <w:r w:rsidRPr="00CA3FDD">
        <w:rPr>
          <w:rFonts w:ascii="Arial" w:hAnsi="Arial" w:cs="Arial"/>
          <w:sz w:val="24"/>
          <w:szCs w:val="24"/>
        </w:rPr>
        <w:t>ncremento salarial del 1% para el 2018 respecto a las tablas salariales de 2017.</w:t>
      </w: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Como novedad, se introducen dos cláusulas de revisión salarial topadas ambas al 2%. Una para el año 2017, para el caso en que el IPC real del presente año supere el 1,6%, y otra para el 2018, para el supuesto en que este supere el 1%.</w:t>
      </w:r>
    </w:p>
    <w:p w:rsidR="00B64AB2" w:rsidRPr="00CA3FDD" w:rsidRDefault="00B64AB2" w:rsidP="00CA3FDD">
      <w:pPr>
        <w:jc w:val="both"/>
        <w:rPr>
          <w:rFonts w:ascii="Arial" w:hAnsi="Arial" w:cs="Arial"/>
          <w:sz w:val="24"/>
          <w:szCs w:val="24"/>
        </w:rPr>
      </w:pPr>
    </w:p>
    <w:p w:rsidR="00767CC7" w:rsidRPr="00CA3FDD" w:rsidRDefault="0076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Prendas de trabajo.</w:t>
      </w:r>
    </w:p>
    <w:p w:rsidR="00767CC7" w:rsidRPr="00CA3FDD" w:rsidRDefault="00767CC7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Se especifica en el art. 42 las prendas de trabajo que las empresas quedan obligadas a proporcionar a los trabajadores con mayor precisión, no obstante lo </w:t>
      </w:r>
      <w:r w:rsidRPr="00CA3FDD">
        <w:rPr>
          <w:rFonts w:ascii="Arial" w:hAnsi="Arial" w:cs="Arial"/>
          <w:sz w:val="24"/>
          <w:szCs w:val="24"/>
        </w:rPr>
        <w:lastRenderedPageBreak/>
        <w:t xml:space="preserve">cual se hace </w:t>
      </w:r>
      <w:r w:rsidR="00CA3FDD" w:rsidRPr="00CA3FDD">
        <w:rPr>
          <w:rFonts w:ascii="Arial" w:hAnsi="Arial" w:cs="Arial"/>
          <w:sz w:val="24"/>
          <w:szCs w:val="24"/>
        </w:rPr>
        <w:t>consta</w:t>
      </w:r>
      <w:r w:rsidRPr="00CA3FDD">
        <w:rPr>
          <w:rFonts w:ascii="Arial" w:hAnsi="Arial" w:cs="Arial"/>
          <w:sz w:val="24"/>
          <w:szCs w:val="24"/>
        </w:rPr>
        <w:t xml:space="preserve"> que la dotación sobre calzado y uniformes se estudiará en la Comisión de Uniformidad que las partes firmantes se </w:t>
      </w:r>
      <w:r w:rsidR="00CA3FDD" w:rsidRPr="00CA3FDD">
        <w:rPr>
          <w:rFonts w:ascii="Arial" w:hAnsi="Arial" w:cs="Arial"/>
          <w:sz w:val="24"/>
          <w:szCs w:val="24"/>
        </w:rPr>
        <w:t>comprometen</w:t>
      </w:r>
      <w:r w:rsidRPr="00CA3FDD">
        <w:rPr>
          <w:rFonts w:ascii="Arial" w:hAnsi="Arial" w:cs="Arial"/>
          <w:sz w:val="24"/>
          <w:szCs w:val="24"/>
        </w:rPr>
        <w:t xml:space="preserve"> a crear. Se respetarán en todo caso los acuerdos que en esta materia se adopten en los Comités de salud de las empresas.</w:t>
      </w:r>
    </w:p>
    <w:p w:rsidR="00767CC7" w:rsidRPr="00CA3FDD" w:rsidRDefault="00767CC7" w:rsidP="00CA3FDD">
      <w:pPr>
        <w:jc w:val="both"/>
        <w:rPr>
          <w:rFonts w:ascii="Arial" w:hAnsi="Arial" w:cs="Arial"/>
          <w:sz w:val="24"/>
          <w:szCs w:val="24"/>
        </w:rPr>
      </w:pPr>
    </w:p>
    <w:p w:rsidR="00767CC7" w:rsidRPr="00CA3FDD" w:rsidRDefault="0076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Seguro de invalidez y muerte.</w:t>
      </w:r>
    </w:p>
    <w:p w:rsidR="00767CC7" w:rsidRPr="00CA3FDD" w:rsidRDefault="00767CC7" w:rsidP="00CA3FD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767CC7" w:rsidRDefault="00767CC7" w:rsidP="00CA3FD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El artículo 43 actualiza </w:t>
      </w:r>
      <w:r w:rsidR="00CA3FDD" w:rsidRPr="00CA3FDD">
        <w:rPr>
          <w:rFonts w:ascii="Arial" w:hAnsi="Arial" w:cs="Arial"/>
          <w:sz w:val="24"/>
          <w:szCs w:val="24"/>
        </w:rPr>
        <w:t>las cantidades</w:t>
      </w:r>
      <w:r w:rsidRPr="00CA3FDD">
        <w:rPr>
          <w:rFonts w:ascii="Arial" w:hAnsi="Arial" w:cs="Arial"/>
          <w:sz w:val="24"/>
          <w:szCs w:val="24"/>
        </w:rPr>
        <w:t xml:space="preserve"> que deberán garantizarse por los seguros de </w:t>
      </w:r>
      <w:r w:rsidR="00CA3FDD" w:rsidRPr="00CA3FDD">
        <w:rPr>
          <w:rFonts w:ascii="Arial" w:hAnsi="Arial" w:cs="Arial"/>
          <w:sz w:val="24"/>
          <w:szCs w:val="24"/>
        </w:rPr>
        <w:t>invalidez</w:t>
      </w:r>
      <w:r w:rsidR="00D30CFE">
        <w:rPr>
          <w:rFonts w:ascii="Arial" w:hAnsi="Arial" w:cs="Arial"/>
          <w:sz w:val="24"/>
          <w:szCs w:val="24"/>
        </w:rPr>
        <w:t xml:space="preserve"> y muerte: 30.000 euros en caso de muerte y 35.000 euros en caso de invalidez.</w:t>
      </w:r>
    </w:p>
    <w:p w:rsidR="00241E0C" w:rsidRPr="00CA3FDD" w:rsidRDefault="00241E0C" w:rsidP="00CA3FD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767CC7" w:rsidRPr="00CA3FDD" w:rsidRDefault="00767CC7" w:rsidP="00CA3FD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767CC7" w:rsidRPr="00CA3FDD" w:rsidRDefault="0076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Contrato de relevo.</w:t>
      </w:r>
    </w:p>
    <w:p w:rsidR="00767CC7" w:rsidRDefault="00D30CFE" w:rsidP="00CA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introduce un  nuevo </w:t>
      </w:r>
      <w:r w:rsidR="00767CC7" w:rsidRPr="00CA3FDD">
        <w:rPr>
          <w:rFonts w:ascii="Arial" w:hAnsi="Arial" w:cs="Arial"/>
          <w:sz w:val="24"/>
          <w:szCs w:val="24"/>
        </w:rPr>
        <w:t>artículo 44 bis</w:t>
      </w:r>
      <w:r>
        <w:rPr>
          <w:rFonts w:ascii="Arial" w:hAnsi="Arial" w:cs="Arial"/>
          <w:sz w:val="24"/>
          <w:szCs w:val="24"/>
        </w:rPr>
        <w:t xml:space="preserve"> que se remite en esta cuestión</w:t>
      </w:r>
      <w:r w:rsidR="00767CC7" w:rsidRPr="00CA3FDD">
        <w:rPr>
          <w:rFonts w:ascii="Arial" w:hAnsi="Arial" w:cs="Arial"/>
          <w:sz w:val="24"/>
          <w:szCs w:val="24"/>
        </w:rPr>
        <w:t xml:space="preserve"> a la legislación vigente.</w:t>
      </w:r>
    </w:p>
    <w:p w:rsidR="00CA3FDD" w:rsidRPr="00CA3FDD" w:rsidRDefault="00CA3FDD" w:rsidP="00CA3FDD">
      <w:pPr>
        <w:jc w:val="both"/>
        <w:rPr>
          <w:rFonts w:ascii="Arial" w:hAnsi="Arial" w:cs="Arial"/>
          <w:sz w:val="24"/>
          <w:szCs w:val="24"/>
        </w:rPr>
      </w:pPr>
    </w:p>
    <w:p w:rsidR="00767CC7" w:rsidRDefault="0076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Derechos sindicales.</w:t>
      </w:r>
    </w:p>
    <w:p w:rsidR="00CA3FDD" w:rsidRDefault="00767CC7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 xml:space="preserve">El art. 57 prevé la posibilidad de que cada sindicato </w:t>
      </w:r>
      <w:r w:rsidR="00241E0C" w:rsidRPr="00CA3FDD">
        <w:rPr>
          <w:rFonts w:ascii="Arial" w:hAnsi="Arial" w:cs="Arial"/>
          <w:sz w:val="24"/>
          <w:szCs w:val="24"/>
        </w:rPr>
        <w:t>de</w:t>
      </w:r>
      <w:r w:rsidR="00241E0C">
        <w:rPr>
          <w:rFonts w:ascii="Arial" w:hAnsi="Arial" w:cs="Arial"/>
          <w:sz w:val="24"/>
          <w:szCs w:val="24"/>
        </w:rPr>
        <w:t>signe</w:t>
      </w:r>
      <w:r w:rsidRPr="00CA3FDD">
        <w:rPr>
          <w:rFonts w:ascii="Arial" w:hAnsi="Arial" w:cs="Arial"/>
          <w:sz w:val="24"/>
          <w:szCs w:val="24"/>
        </w:rPr>
        <w:t xml:space="preserve"> más de un delegado por provincia, con un </w:t>
      </w:r>
      <w:r w:rsidR="00CA3FDD" w:rsidRPr="00CA3FDD">
        <w:rPr>
          <w:rFonts w:ascii="Arial" w:hAnsi="Arial" w:cs="Arial"/>
          <w:sz w:val="24"/>
          <w:szCs w:val="24"/>
        </w:rPr>
        <w:t>límite</w:t>
      </w:r>
      <w:r w:rsidRPr="00CA3FDD">
        <w:rPr>
          <w:rFonts w:ascii="Arial" w:hAnsi="Arial" w:cs="Arial"/>
          <w:sz w:val="24"/>
          <w:szCs w:val="24"/>
        </w:rPr>
        <w:t xml:space="preserve"> de 26 delegados por sindicato en el territorio español, lo que hace un total máxi</w:t>
      </w:r>
      <w:r w:rsidR="00241E0C">
        <w:rPr>
          <w:rFonts w:ascii="Arial" w:hAnsi="Arial" w:cs="Arial"/>
          <w:sz w:val="24"/>
          <w:szCs w:val="24"/>
        </w:rPr>
        <w:t>mo de 52 delegados provinciales.</w:t>
      </w:r>
    </w:p>
    <w:p w:rsidR="00241E0C" w:rsidRPr="00CA3FDD" w:rsidRDefault="00241E0C" w:rsidP="00CA3FDD">
      <w:pPr>
        <w:jc w:val="both"/>
        <w:rPr>
          <w:rFonts w:ascii="Arial" w:hAnsi="Arial" w:cs="Arial"/>
          <w:sz w:val="24"/>
          <w:szCs w:val="24"/>
        </w:rPr>
      </w:pPr>
    </w:p>
    <w:p w:rsidR="00767CC7" w:rsidRPr="00CA3FDD" w:rsidRDefault="00767CC7" w:rsidP="00CA3FDD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A3FDD">
        <w:rPr>
          <w:rFonts w:ascii="Arial" w:hAnsi="Arial" w:cs="Arial"/>
          <w:sz w:val="24"/>
          <w:szCs w:val="24"/>
          <w:u w:val="single"/>
        </w:rPr>
        <w:t>Formación.</w:t>
      </w:r>
    </w:p>
    <w:p w:rsidR="00767CC7" w:rsidRPr="00CA3FDD" w:rsidRDefault="00767CC7" w:rsidP="00CA3FDD">
      <w:pPr>
        <w:jc w:val="both"/>
        <w:rPr>
          <w:rFonts w:ascii="Arial" w:hAnsi="Arial" w:cs="Arial"/>
          <w:sz w:val="24"/>
          <w:szCs w:val="24"/>
        </w:rPr>
      </w:pPr>
      <w:r w:rsidRPr="00CA3FDD">
        <w:rPr>
          <w:rFonts w:ascii="Arial" w:hAnsi="Arial" w:cs="Arial"/>
          <w:sz w:val="24"/>
          <w:szCs w:val="24"/>
        </w:rPr>
        <w:t>El art. 59 prevé que se realice preferentemente dentro de la jornada de trabajo o sea o bien ofertada por la empresa o requerida para su formación profesional</w:t>
      </w:r>
      <w:r w:rsidR="00CA3FDD" w:rsidRPr="00CA3FDD">
        <w:rPr>
          <w:rFonts w:ascii="Arial" w:hAnsi="Arial" w:cs="Arial"/>
          <w:sz w:val="24"/>
          <w:szCs w:val="24"/>
        </w:rPr>
        <w:t>, en el caso de realizarse la formación fuera de la jornada laboral se compensará el tiempo empleado en otro día y se abonarán los gastos que generen.</w:t>
      </w:r>
    </w:p>
    <w:p w:rsidR="00CA3FDD" w:rsidRDefault="00CA3FDD" w:rsidP="00CA3FDD">
      <w:pPr>
        <w:jc w:val="both"/>
        <w:rPr>
          <w:rFonts w:ascii="Arial" w:hAnsi="Arial" w:cs="Arial"/>
          <w:sz w:val="24"/>
          <w:szCs w:val="24"/>
        </w:rPr>
      </w:pPr>
    </w:p>
    <w:p w:rsidR="00241E0C" w:rsidRDefault="00241E0C" w:rsidP="00CA3FDD">
      <w:pPr>
        <w:jc w:val="both"/>
        <w:rPr>
          <w:rFonts w:ascii="Arial" w:hAnsi="Arial" w:cs="Arial"/>
          <w:sz w:val="24"/>
          <w:szCs w:val="24"/>
        </w:rPr>
      </w:pPr>
    </w:p>
    <w:p w:rsidR="00B64AB2" w:rsidRPr="00CA3FDD" w:rsidRDefault="00CA3FDD" w:rsidP="00CA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c</w:t>
      </w:r>
      <w:r w:rsidR="00B64AB2" w:rsidRPr="00CA3FDD">
        <w:rPr>
          <w:rFonts w:ascii="Arial" w:hAnsi="Arial" w:cs="Arial"/>
          <w:sz w:val="24"/>
          <w:szCs w:val="24"/>
        </w:rPr>
        <w:t xml:space="preserve">on ánimo de despejar cualquier tipo de incertidumbre para cuando finalice la vigencia del convenio, se ha reflejado expresamente una prórroga de 18 meses, computados desde la fecha de su denuncia, 1 de octubre de 2018. </w:t>
      </w:r>
    </w:p>
    <w:p w:rsidR="000A0E85" w:rsidRPr="00CA3FDD" w:rsidRDefault="000A0E85">
      <w:pPr>
        <w:rPr>
          <w:rFonts w:ascii="Century Gothic" w:hAnsi="Century Gothic"/>
        </w:rPr>
      </w:pPr>
    </w:p>
    <w:sectPr w:rsidR="000A0E85" w:rsidRPr="00CA3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3B77"/>
    <w:multiLevelType w:val="hybridMultilevel"/>
    <w:tmpl w:val="78EEADB2"/>
    <w:lvl w:ilvl="0" w:tplc="8820D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75EE3"/>
    <w:multiLevelType w:val="hybridMultilevel"/>
    <w:tmpl w:val="88D279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B2"/>
    <w:rsid w:val="000A0E85"/>
    <w:rsid w:val="000D4BB4"/>
    <w:rsid w:val="00241E0C"/>
    <w:rsid w:val="003D7CC7"/>
    <w:rsid w:val="0047622B"/>
    <w:rsid w:val="005544DC"/>
    <w:rsid w:val="00767CC7"/>
    <w:rsid w:val="00B64AB2"/>
    <w:rsid w:val="00CA3FDD"/>
    <w:rsid w:val="00D30CFE"/>
    <w:rsid w:val="00D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65B0-C1B7-4667-A95F-0523169A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Donaire Llorens</dc:creator>
  <cp:keywords/>
  <dc:description/>
  <cp:lastModifiedBy>Sara Donaire Llorens</cp:lastModifiedBy>
  <cp:revision>5</cp:revision>
  <dcterms:created xsi:type="dcterms:W3CDTF">2017-10-19T14:34:00Z</dcterms:created>
  <dcterms:modified xsi:type="dcterms:W3CDTF">2017-10-20T12:01:00Z</dcterms:modified>
</cp:coreProperties>
</file>